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SOUTH HIGH SCHOOL BOWLING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Letter of Intent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return by October </w:t>
      </w:r>
      <w:r w:rsidDel="00000000" w:rsidR="00000000" w:rsidRPr="00000000">
        <w:rPr>
          <w:b w:val="1"/>
          <w:rtl w:val="0"/>
        </w:rPr>
        <w:t xml:space="preserve">27</w:t>
      </w:r>
      <w:r w:rsidDel="00000000" w:rsidR="00000000" w:rsidRPr="00000000">
        <w:rPr>
          <w:b w:val="1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vertAlign w:val="baseline"/>
          <w:rtl w:val="0"/>
        </w:rPr>
        <w:t xml:space="preserve"> via email (pyoungkin@ciu20.org)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Classroom Teacher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Associates and other personnel attending the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Students:</w:t>
      </w:r>
    </w:p>
    <w:tbl>
      <w:tblPr>
        <w:tblStyle w:val="Table1"/>
        <w:tblW w:w="77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"/>
        <w:gridCol w:w="7200"/>
        <w:tblGridChange w:id="0">
          <w:tblGrid>
            <w:gridCol w:w="516"/>
            <w:gridCol w:w="7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    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